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9" w:rsidRPr="00E01FCA" w:rsidRDefault="00F563A9" w:rsidP="00F563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kern w:val="36"/>
          <w:sz w:val="27"/>
          <w:szCs w:val="27"/>
          <w:lang w:eastAsia="pt-BR"/>
        </w:rPr>
      </w:pPr>
      <w:bookmarkStart w:id="0" w:name="_GoBack"/>
      <w:bookmarkEnd w:id="0"/>
      <w:proofErr w:type="gramStart"/>
      <w:r w:rsidRPr="00E01FCA">
        <w:rPr>
          <w:rFonts w:ascii="Times New Roman" w:eastAsia="Times New Roman" w:hAnsi="Times New Roman" w:cs="Times New Roman"/>
          <w:b/>
          <w:bCs/>
          <w:color w:val="CC3333"/>
          <w:kern w:val="36"/>
          <w:sz w:val="27"/>
          <w:szCs w:val="27"/>
          <w:lang w:eastAsia="pt-BR"/>
        </w:rPr>
        <w:t>Ajuste Fiscal e Retomada de Investimentos</w:t>
      </w:r>
      <w:proofErr w:type="gramEnd"/>
    </w:p>
    <w:p w:rsidR="00F563A9" w:rsidRPr="00E01FCA" w:rsidRDefault="00F563A9" w:rsidP="00F5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ajuste fiscal do Estado de São Paulo foi iniciado em 1995 e caracterizado por uma profunda reestruturação patrimonial, com a assunção e refinanciamento da dívida estadual pela União e a execução do Programa Estadual de Desestatização (PED). Ao mesmo tempo, empreendeu-se um amplo processo de modernização da gestão administrativa, visando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redução de despesas e incremento de receita, sem elevação da carga tributária e com maior eficiência na gestão fiscal.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Quadro Encontrado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1994, a situação financeira do Estado de São Paulo era crítica. O principal banco estadual – Banespa – estava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sob intervenção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do Banco Central. Em 31 de dezembro daquele ano, a relação “saldo de caixa / restos a pagar” foi de 0,13; ou seja, os compromissos financeiros (restos a pagar) eram 7,7 vezes maiores que os recursos disponíveis em caixa para seu pagamento.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Como o déficit financeiro era crônico, entre 1988 e 1993, o Caixa do Tesouro Paulista precisou contar com o reforço de operações de Antecipação de Receita Orçamentária (ARO), ou empréstimos de curtíssimo prazo, para saldar dívidas no final do exercício de todos esses anos, o que contribuiu fortemente para o crescimento explosivo da dívida financeira. Grosso modo, o Estado precisava recorrer sempre ao “cheque especial” para fechar o mês.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Os déficits orçamentários (excesso de despesa sobre a receita total, incluindo operações de crédito) entre 1987 e 1994 foram vultosos, somando R$ 71,2 bilhões. Ademais, eles apresentavam uma trajetória crescente, saindo de uma média anual de 12,6% da receita no período de 1987 a 1990 para 19,9% anuais no período de 1991 a 1994.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janeiro de 1995 houve necessidade de parcelamento da folha do funcionalismo. O atraso médio no pagamento de fornecedores era de mais de seis meses. Os precatórios não eram pagos e mais de 2.300 obras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encontravam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-se paralisadas, com pagamentos atrasados em até cinco anos. As dívidas contratuais e mobiliárias vinham crescendo explosivamente em função dos elevados juros, que não eram pagos, mas sim capitalizados.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Principais Medidas Tomadas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2.1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Período 1995-1998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Pelo lado da despesa,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repactuou-se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contratos de prestação de serviços e obras, expurgando a inflação das prestações vincendas. Em seguida, implantou-se no Estado o Cadastro de Serviços Terceirizados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Cadterc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que instituiu os valores referenciais, diretrizes e procedimentos para contratação e gestão dos principais serviços terceirizados.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Para tornar a arrecadação mais eficiente, foi instituído em 1995 na Secretaria da Fazenda o Programa de Modernização da Coordenadoria da Administração Tributária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Promocat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com a finalidade de modernizar a administração tributária.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Na mesma linha foi implantado o Programa de Modernização do Controle Interno e Administração Financeira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Promociaf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Um dos resultados deste programa foi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criação de diversos sistemas informatizados. O Sistema Integrado da Administração Financeira para Estados e Municípios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/SP) foi desenvolvido pelo Serviço Federal de Processamento de Dados (Serpro) e customizado e implantado pela Companhia de Processamento de Dados do Estado de São Paulo (Prodesp). Em janeiro de 1996, a administração direta passou a executar o orçamento pelo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 e em 1997 foi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vez da administração indireta ser incluída no sistema.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Em janeiro de 1998, o Sistema Integrado de Informações Físico-Financeiras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Siafisico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foi implantado na administração direta, com a finalidade de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otimizar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as compras públicas. No segundo semestre de 1998, foi disponibilizado para todas as secretarias o Sistema de Informações Gerenciais da Execução Orçamentária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– uma ferramenta que extrai informações transacionais do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 e do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Siafisico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as transforma em relatórios gerenciais prontos ou customizáveis para os gestores orçamentários e financeiros.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1997, as tratativas com o governo federal em relação à dívida estadual chegaram a bom termo, culminando com a assinatura do contrato de Confissão, Promessa de Assunção, Consolidação e Refinanciamento de Dívidas. Com este contrato, foi assinado o primeiro Programa de Reestruturação e Ajuste Fiscal (PAF). O PAF faz parte do contrato de renegociação da dívida e consiste em um documento que fixa o compromisso do Estado de adotar ações visando o atingimento de um conjunto de metas para o saneamento das contas públicas.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No período de 1995 a 1998, o Estado implantou três Programas de Demissão Voluntária (PDV), resultando na redução de cerca de 15.000 servidores, correspondendo a uma economia de R$ 75 milhões por ano. Também promoveu entre 1998 e 1999 o recadastramento dos inativos e beneficiários da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, com vistas à complementação de benefícios pagos pelo Estado, obtendo com esse trabalho uma economia mensal estimada da ordem de R$ 1,7 milhão.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Naquele período foi iniciado o Programa Estadual de Desestatização (PED), instituído pela Lei Estadual nº 9.361, de 05/07/1996, que contribuiu para assegurar o equilíbrio das contas públicas e promoveu uma profunda reorganização do Estado. Entre 1997 e 2005, a receita obtida com o PED foi de R$ 26 bilhões, incluídos os valores relativos às empresas transferidas ao Governo Federal no âmbito do Acordo da Dívida -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, Ceagesp, Cesp</w:t>
      </w:r>
      <w:hyperlink r:id="rId12" w:history="1">
        <w:r w:rsidRPr="00E01FCA">
          <w:rPr>
            <w:rFonts w:ascii="Times New Roman" w:eastAsia="Times New Roman" w:hAnsi="Times New Roman" w:cs="Times New Roman"/>
            <w:color w:val="CC3333"/>
            <w:sz w:val="17"/>
            <w:szCs w:val="17"/>
            <w:lang w:eastAsia="pt-BR"/>
          </w:rPr>
          <w:t>1</w:t>
        </w:r>
      </w:hyperlink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Banespa, às empresas privatizadas, à alienação de participações e às receitas de concessões.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1997, ocorreram as seguintes transferências de ações à União para amortização da dívida da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pelo valor de R$ 2,6 bilhões e da Ceagesp, avaliada em R$ 250 milhões. Durante o ano de 1998 ocorreram novas transferências de ações para amortização da dívida, bem como recursos provenientes da privatização de empresas do setor elétrico: Eletropaulo Metropolitana, ações no valor de R$ 424,8 milhões; Empresa Bandeirante de Energia, no valor de R$ 873,7 milhões, sendo R$ 710,2 em espécie e R$ 163,5 em ações; ações da Empresa Paulista de Transmissão de Energia, pelo valor de R$ 130,2 milhões, além do Bloco Principal de ações do Banespa, pelo valor de R$ 1,52 bilhão.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2.2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Período 1999-2002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estoque da dívida foi substancialmente reduzido com a liquidação da conta gráfica, iniciada com a assinatura do contrato em 1997 e concluída em novembro de 1999. A conta gráfica é uma parcela da dívida que foi amortizada com alienação de bens e direitos. Ela era equivalente a 20% do estoque da dívida. Esta amortização permitiu ainda que o Estado mantivesse os juros pagos sobre a dívida em 6% ao ano, não aumentando para 9%, retroativo à data da assinatura do contrato como ocorreria caso não fosse feita a amortização de 20%.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1999, para a liquidação total da conta gráfica, houve o pagamento adicional de R$ 320,2 milhões e R$ 386 milhões resultantes da privatização da Cesp Paranapanema e da Cesp Tietê, respectivamente, e a transferência do Bloco Complementar do Banespa, pelo valor de R$ 552,3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Para incrementar a arrecadação do ICMS, foram tomadas medidas fiscais ligadas à dívida ativa em 2000: a anistia (Decreto 44.970/00) 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 "Refis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Estadual" (Decreto 44.971/00), ambas aprovadas pelo Confaz, que proporcionaram uma arrecadação extraordinária de R$ 1,1 bilhão.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Visando à redução de despesas, foram tomadas medidas para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otimizar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as compras efetuadas pelo Estado. Neste sentido, em 2000, foi instituído o sistema eletrônico de contratações, denominado Bolsa Eletrônica de Compras (BEC-SP), que tem por objetivo a negociação de preço de bens e serviços adquiridos pela Administração Pública por meio de procedimentos eletrônicos, permitindo ampla competitividade e igualdade de condições de participação para todos os seus usuários.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Desde a implantação da Bolsa Eletrônica de Compras e do Pregão Eletrônico, a economia obtida, entre 2000 e 2009, representou mais de R$ 1,5 bilhão.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Tabela 1 – BEC: Valores Negociados e Economia: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lastRenderedPageBreak/>
        <w:drawing>
          <wp:inline distT="0" distB="0" distL="0" distR="0" wp14:anchorId="758026B9" wp14:editId="505A6F0F">
            <wp:extent cx="5400675" cy="2247900"/>
            <wp:effectExtent l="0" t="0" r="9525" b="0"/>
            <wp:docPr id="14" name="Imagem 14" descr="http://www.fazenda.sp.gov.br/ajust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zenda.sp.gov.br/ajustes/image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Sefaz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-SP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2002, foi implantada uma 2ª fase de modernização da administração tributária, denominada Programa Fisco e Cidadania ou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Promocat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II, com o objetivo de aprofundar as melhorias, sobretudo quanto às relações entre o Fisco e o contribuinte.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Algumas ações proporcionaram receitas extraordinárias, provenientes principalmente das seguintes medidas: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Decreto n° 47.067 de 10/09/2002 e da Lei n° 11.596 de 12/12/2003, que dispensaram e reduziram os juros e multas de débitos fiscais do ICMS, proporcionando receitas adicionais de R$ 769 milhões em 2002 e de R$ 317 milhões em 2003, considerada somente a parte do Estado;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modificações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legais e da implantação de sistema informatizado de controle e fiscalização do ITCMD (Imposto Sobre Transmissão “Causa Mortis” e Doações), que somou R$ 243 milhões em 2002 e R$ 533 milhões em 2003.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relação ao PED, em maio de 2002 foi realizada a venda 4,78 bilhões de ações da Sabesp, de propriedade do Governo do Estado, proporcionando o ingresso de R$ 537 milhões.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2.3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Período 2003-2006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Como forma de minimizar o déficit previdenciário existente e, ao mesmo tempo, adequar a legislação previdenciária estadual à Emenda Constitucional federal nº 41/03, duas medidas foram aprovadas pela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Assembléia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Legislativa: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Lei Complementar nº 943/03, que instituiu contribuição previdenciária adicional de 5% dos servidores ativos, para custeio de aposentadoria;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Lei Complementar nº 954/03, que dispôs sobre a contribuição previdenciária de inativos e pensionistas do Estado.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relação ao PED, em abril de 2003 foram arrecadados R$ 408 milhões procedentes de vitória em processo judicial da Receita Federal contra o Banespa, antes da venda deste à União e que serviram para amortizar parte da dívida com o Governo Federal.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No âmbito administrativo, o Programa de Fortalecimento da Gestão Fiscal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Proffis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foi instituído em 2004 com os seguintes objetivos: aumento da arrecadação, controle dos gastos públicos e transparência das contas públicas.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Foram, no período, adotadas diversas medidas para contenção da folha de pagamento, dentre elas se destacam: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recadastramento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anual dos inativos e pensionistas do Estado e auditoria de sua situação cadastral, que produziu retorno financeiro aos cofres públicos de R$ 4,3 milhões, em 2005 e 2006;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revisão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nos pagamentos de complementação de aposentadoria e pensão – Lei 4.819/58;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instituição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do Sistema Único de Cadastro de cargos/funções-atividades da Administração Direta e das Autarquias – Decreto nº 50.881/06, com vistas ao controle centralizado, possibilitando o gerenciamento eficiente e eficaz; e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>revisão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de critérios de folha de pagamento das Secretarias de Estado.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Quanto ao incremento de receitas tributárias, a maior fiscalização e controle nos cartórios proporcionou expressiva arrecadação do ITCMD (Imposto Sobre Transmissão “Causa Mortis” e Doações), que somou R$ 1,63 bilhão nos anos de 2003 a 2006, superando em mais de R$ 1 bilhão a arrecadação de 1999 a 2002, que foi de R$ 588,7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dívida mobiliária do Estado foi zerada com o resgate dos últimos títulos que foram emitidos em 1996 e venceram em 2006, no valor de R$ 988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Considerando-se ainda a transferência do passivo financeiro existente nas estatais, o resultado global do PED passou a R$ 35,6 bilhões. Neste cômputo foram incluídas as operações envolvendo a venda de ações da Nossa Caixa Previdência (R$ 79 milhões) em agosto de 2005 e, em novembro do mesmo ano, a venda de 28,7% ações da Nossa Caixa (R$ 954 milhões). Estes recursos foram destinados prioritariamente à redução do montante da dívida estadual.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2.4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Período 2007-2010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gestão do período teve como objetivo ampliar a capacidade de investimento do Estado, mantendo como premissa o equilíbrio fiscal. Do ponto de vista institucional, a Secretaria da Fazenda implantou o planejamento estratégico, concluiu 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Proffis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iniciou um novo programa de modernização: o Programa de Apoio a Gestão e Integração dos Fiscos do Brasil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Profisco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Para ampliar a receita, a Secretaria da Fazenda tomou várias medidas. As principais encontram-se listadas abaixo: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Programa de Parcelamento Incentivado (PPI) que, ao facilitar o pagamento de débitos de ICMS, permitiu reaver, entre pagamentos à vista e parcelamentos, um montante de R$ 3,1 bilhões;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Introdução da Nota Fiscal Paulista - NFP (Lei 12.685/2008), cujo objetivo é ampliar a arrecadação, por meio do aumento da base de incidência do imposto. Isto é feito incentivando o consumidor a pedir a nota fiscal, o que por sua vez diminui a margem do contribuinte para a subnotificação de receita. Desde sua implantação até dezembro de 2009, a NFP gerou um acréscimo de receita de R$ 1,5 bilhão;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Ampliação do recolhimento do ICMS pela Substituição Tributária, o que ampliou a arrecadação em R$ 4,6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bilhões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 modernização da administração tributária também avançou com a implantação da Nota Fiscal Eletrônica (NF-e) e a escrituração digital fiscal e contábil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Sped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Este sistema substituirá os atos de escrituração em papel e permitirá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racionalização e uniformização das obrigações acessórias, a integração dos fiscos e a descoberta mais ágil de ilícitos fiscais.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lei estadual que rege o ICMS foi totalmente revista, dando ao fisco mais poderes para combater sua evasão, inclusive a decorrente da guerra fiscal entre os Estados. O mesmo foi feito com a lei do IPVA para reduzir licenciamentos fraudulentos, ao mesmo tempo em que se intensificou a cobrança dos inadimplentes.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Ainda em relação às receitas, a partir de 2007, como resultado do ajuste fiscal empreendido, o Estado obteve a permissão para voltar a contratar operações de crédito. De 2007 a 2010, o Estado recebeu autorização para contratar empréstimos no valor total de R$ 15 bilhões. A receita destas operações de crédito permitiu ao Estado ampliar os investimentos em várias áreas como rodovias, transporte coletivo, habitação e saneamento.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No que tange ao controle das despesas e medidas para melhoria da gestão pública, destacam-se iniciativas como o recadastramento dos servidores ativos, a criação do Cadastro Unificado de Fornecedores do Estado de São Paulo –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Caufesp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; a obrigatoriedade de utilização do pregão eletrônico a toda Administração Pública Estadual e a inversão de fases no procedimento licitatório, que permite realizar a análise das propostas apresentadas e posteriormente a habilitação dos classificados.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Novas mudanças em adequação à legislação federal foram feitas no Regime Próprio de Previdência, como a criação da São Paulo Previdência (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SPPrev</w:t>
      </w:r>
      <w:proofErr w:type="spellEnd"/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que é o órgão gestor único de previdência do Regime Próprio de Previdência dos Servidores Públicos (RPPS) e do Regime Próprio de Previdência dos Militares (RPPM). Também foi equacionada a questão judicial acerca da contribuição previdenciária de cargos comissionados e servidores temporários.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Reestruturou-se 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colocou-se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em extinção as carteiras autônomas de previdência dos advogados e serventuários, que eram administradas pelo antigo Instituto de Previdência do Estado de São Paulo -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Ipesp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. A administração dessas carteiras pela 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SPPrev</w:t>
      </w:r>
      <w:proofErr w:type="spellEnd"/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estaria em desacordo com a legislação federal vigente, impedindo o Estado de obter o certificado de regularidade previdenciária e consequentemente de receber transferências voluntárias e contratar operações de crédito externas com garantia da União. Além disso, estas carteiras estavam atuarialmente desequilibradas e tinham o potencial de gerar um passivo para o Estado de até R$ 20 bilhões.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último, mas não menos importante, foram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medidas adotadas em relação à política de recursos humanos do Estado. Com o fim de buscar maior eficiência das organizações públicas, com os cargos adequados às funções do Estado, no período de 2007 a 2010 o Poder Executivo implantou 28 medidas de reestruturação de cargos e carreiras, com impacto salarial. Destaca-se a reestruturação dos cargos gerais do Estado (área meio) pela Lei Complementar 1.080, de 17/12/2008. Também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implantou-se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 remuneração atrelada a resultados em 11 órgãos.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Complementarmente a essas ações voltadas a pessoal, também houve ações de ordem legal e de gestão, com a finalidade de reduzir os custos com absenteísmo, relativamente às atividades que abrangem o ingresso e os afastamentos de servidores, nas quais, de início, no primeiro ano, constatou-se redução de 51% das ausências médicas.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Resultados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As finanças do Governo do Estado de São Paulo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encontram-se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em 2010 em situação diametralmente oposta à situação falimentar de 1994: os pagamentos estão em dia, os gastos sociais e investimentos são crescentes, a dívida financeira encontra-se rigorosamente em dia, os precatórios são pagos e, finalmente, há o pleno cumprimento das metas e limites fiscais previstas tanto no Programa de Reestruturação e Ajuste Fiscal (PAF) como na Lei de Responsabilidade Fiscal (LRF). As medidas tomadas refletiram nos resultados fiscais, como comprovam os gráficos e tabelas a seguir, começando pelo tamanho do orçamento do Estado, medido pelo volume das despesas totais. </w:t>
      </w:r>
    </w:p>
    <w:p w:rsidR="00F563A9" w:rsidRPr="00E01FCA" w:rsidRDefault="00F563A9" w:rsidP="00F563A9">
      <w:pPr>
        <w:spacing w:beforeAutospacing="1" w:after="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1 – Despesas Totais deflacionadas pelo IPCA (R$ bilhões): 1996-2009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86362FF" wp14:editId="57D9B497">
            <wp:extent cx="5400675" cy="2714625"/>
            <wp:effectExtent l="0" t="0" r="9525" b="9525"/>
            <wp:docPr id="13" name="Imagem 13" descr="http://www.fazenda.sp.gov.br/ajust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zenda.sp.gov.br/ajustes/image0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Fonte: Balanço Geral do Estado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A despesa de 1997 foi ajustada para excluir o valor referente à operação de refinanciamento da dívida.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3.1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Resultado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Orçamentário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1995, início do ajuste fiscal, já se percebe uma mudança da situação encontrada até 1994. Houve uma grande redução do déficit orçamentário: de 21,7% em 1994 para um déficit de 3%. O equilíbrio foi atingido em 1996 e, desde 1997, o resultado é sempre superavitário. Em 2009, o Estado de São Paulo apresentou superávit de R$ 678,17 milhões, completando o décimo terceiro ano consecutivo com execução orçamentária superavitária.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2 – Resultado Orçamentário (% da Receita Total): 1986-2009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55F1EA88" wp14:editId="3CBF4FE7">
            <wp:extent cx="5400675" cy="3676650"/>
            <wp:effectExtent l="0" t="0" r="9525" b="0"/>
            <wp:docPr id="12" name="Imagem 12" descr="http://www.fazenda.sp.gov.br/ajust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zenda.sp.gov.br/ajustes/image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3.2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Resultado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Primário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resultado primário é a diferença entre a receita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não-financeira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(primária) e a despesa não-financeira (primária). No período de 2000 a 2008, a trajetória do superávit primário em termos absolutos é crescente, ainda que em 2005 e 2008 tenha-se registrado ligeiras quedas em relação aos anos anteriores. Esta trajetória demonstra o sólido compromisso do Estado com a solvência da sua dívida.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queda apresentada em 2009 justifica-se frente aos reflexos da crise econômica mundial e da ampliação dos investimentos por parte do Governo, que é uma despesa primária financiada, em grande parte, por receitas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não-primárias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, como alienação de bens e operações de crédito. Não obstante, o resultado primário efetivo foi superior à meta da Lei de Diretrizes Orçamentárias (LDO - R$ 1,9 milhão).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3- Resultado Primário (R$ milhões):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lastRenderedPageBreak/>
        <w:drawing>
          <wp:inline distT="0" distB="0" distL="0" distR="0" wp14:anchorId="12692B5C" wp14:editId="67B1251D">
            <wp:extent cx="5400675" cy="3676650"/>
            <wp:effectExtent l="0" t="0" r="9525" b="0"/>
            <wp:docPr id="1" name="Imagem 1" descr="http://www.fazenda.sp.gov.br/ajust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zenda.sp.gov.br/ajustes/image0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3.3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Dívida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trajetória da Dívida Consolidada Líquida (DCL) em razão da Receita Corrente Líquida pode ser dividida em dois momentos. O primeiro, que vai de 1997 a 2002, mostra uma trajetória oscilante na qual os movimentos de alta da relação estão relacionados com períodos de queda da receita e/ ou de desvalorização cambial.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Foi por conta destes movimentos econômicos, alheios ao controle do Estado, que esta relação atingiu 2,27 em 2002, superando o teto fixado por Resolução do Senado Federal, que é de duas vezes a RCL. No entanto, isto não representou uma violação da Lei de Responsabilidade Fiscal (LRF), pois, a Resolução do Senado Federal 20/2003 desobrigou os Estados de atenderem este limite até o primeiro quadrimestre de 2005.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partir de 2003, com a tendência de apreciação do Real e depois com a intensificação do ritmo de crescimento da receita, a relação DCL/ RCL entrou numa trajetória de queda.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2009, este indicador somou 1,50, ou seja, uma diminuição de 77 pontos percentuais em relação ao pico registrado em 2002.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4 – Dívida Consolidada Líquida/ Receita Consolidada Líquida: 1997-2009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1E9A853" wp14:editId="4BEB2303">
            <wp:extent cx="5400675" cy="3676650"/>
            <wp:effectExtent l="0" t="0" r="9525" b="0"/>
            <wp:docPr id="10" name="Imagem 10" descr="http://www.fazenda.sp.gov.br/ajust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zenda.sp.gov.br/ajustes/image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3.4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Receita </w:t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receita corrente do Estado apresentou crescimento por todo o período, com exceção do ano de 2003. Contudo, este crescimento foi muito mais acentuado no período entre 2003 e 2008, quando a receita cresceu 52,9% em termos reais.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5 – Receita Corrente deflacionado pelo IPCA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(R$ bilhões): 1996-2009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6AB0009" wp14:editId="392D19DC">
            <wp:extent cx="5400675" cy="2571750"/>
            <wp:effectExtent l="0" t="0" r="9525" b="0"/>
            <wp:docPr id="9" name="Imagem 9" descr="http://www.fazenda.sp.gov.br/ajust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zenda.sp.gov.br/ajustes/image00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A principal receita do Estado é a tributária e dentro dela, a principal fonte é o ICMS. Em 2009, ele respondeu sozinho por 79% das receitas correntes.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6 – Índice da Receita Real (Deflator: IPCA) do ICMS (1997 = 100)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245D66E" wp14:editId="1C3FF4B5">
            <wp:extent cx="5400675" cy="3676650"/>
            <wp:effectExtent l="0" t="0" r="9525" b="0"/>
            <wp:docPr id="8" name="Imagem 8" descr="http://www.fazenda.sp.gov.br/ajust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zenda.sp.gov.br/ajustes/image00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SIAFEM/SIGEO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As receitas não tributárias, ainda que de menor valor, têm grande importância no orçamento do Estado, uma vez que não possuem tantas vinculações.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 1995 a 2000, a receita de alienação de bens e a receita patrimonial tiveram maior destaque, por conta das privatizações, alienação de imóveis, concessões de serviço de gás e rodovias. Essas operações geraram uma receita de R$ 23,3 bilhões em valores históricos para o Estado.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partir de 2007, soma-se também a receita de operações de crédito que ajudou a impulsionar novamente as receitas não tributárias. Os desembolsos de operações de crédito somaram quase R$ 2 bilhões em 2009, mais de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9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vezes o valor registrado em 2007, que foi de R$ 206 milhões. Por sua vez, a receita patrimonial somou R$ 13,2 bilhões de 2007 a 2009, enquanto a receita de alienação de bens montou a R$ 3,7 bilhões.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3.5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Despesa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despesa corrente do Estado também apresentou uma evolução positiva durante o mesmo período. Este resultado é fruto das demandas naturais da população, da vinculação de receitas e de várias despesas que crescem autonomamente, como a despesa de pessoal.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 xml:space="preserve">Figura 7 – Despesa Corrente (Deflator: IPCA - R$ bilhões): 1996-2009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5C9B86D0" wp14:editId="558FC934">
            <wp:extent cx="5400675" cy="2714625"/>
            <wp:effectExtent l="0" t="0" r="9525" b="9525"/>
            <wp:docPr id="7" name="Imagem 7" descr="http://www.fazenda.sp.gov.br/ajust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zenda.sp.gov.br/ajustes/image00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Um item importante da despesa é o gasto com pessoal, que desde a aprovação da Lei Camata tem seu montante limitado a um percentual da receita. Como fruto da sua reestruturação patrimonial e das inovações de gestão como o governo eletrônico, o Estado de São Paulo reduziu de maneira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acentuada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 despesa de pessoal em relação à Receita Corrente Líquida (RCL) e, desde 2000, encontra-se abaixo do teto legal. O Poder Executivo fechou 2009 com 41,3% da RCL, mesmo tendo concedido aumentos salariais. Está, portanto, abaixo do limite prudencial, que é de 46,55%.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Figura 8 – Despesa de Pessoal/ RCL: 1999-2009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0826C276" wp14:editId="51FED1ED">
            <wp:extent cx="5495925" cy="3609975"/>
            <wp:effectExtent l="0" t="0" r="9525" b="9525"/>
            <wp:docPr id="6" name="Imagem 6" descr="http://www.fazenda.sp.gov.br/ajust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zenda.sp.gov.br/ajustes/image00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Relatório de Gestão Fiscal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Os gastos nas áreas sociais somaram R$ 13,3 bilhões em 2009, o que representou um acréscimo de quase 250% em relação a 2003, representando mais de 60% dos gastos de custeio do Estado em 2009. Os maiores gastos nas áreas sociais ocorreram nas funções Saúde, Educação e Direitos da Cidadania, refletindo a maior oferta de serviços públicos, além de maiores despesas decorrentes de investimentos realizados nos anos anteriores.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Tabela 2 – Outras Despesas Correntes por Função Orçamentária (R$ milhões): 2003-2009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7C85F9E" wp14:editId="1D09072B">
            <wp:extent cx="4029075" cy="2800350"/>
            <wp:effectExtent l="0" t="0" r="9525" b="0"/>
            <wp:docPr id="5" name="Imagem 5" descr="http://www.fazenda.sp.gov.br/ajust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zenda.sp.gov.br/ajustes/image0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/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Outro item importante da despesa do Estado e prova do ajuste fiscal realizado é a despesa com pagamento de sentenças judiciais, obrigações de pequeno valor e precatórios. Precatório é o instrumento pelo qual o Poder Judiciário requisita, à Fazenda Pública, o pagamento a que esta tenha sido condenada em processo judicial.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conta da situação fiscal desfavorável do Estado vivenciada na primeira metade da década de 1990, muitos precatórios deixaram de ser pagos, criando uma dívida para o governo que assumiu em 1995. O Estado retomou o pagamento dos precatórios paulatinamente e, a partir de 2001, passou a destinar um volume financeiro ao pagamento maior do que o valor dos novos precatórios, buscando a redução dessa dívida.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Tabela 3 – Expedição e Pagamento de Precatórios (R$ Milhões): 1998-2009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7E64BD22" wp14:editId="79B8AA3F">
            <wp:extent cx="4457700" cy="2219325"/>
            <wp:effectExtent l="0" t="0" r="0" b="9525"/>
            <wp:docPr id="4" name="Imagem 4" descr="http://www.fazenda.sp.gov.br/ajust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zenda.sp.gov.br/ajustes/image0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Fonte: TCE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31 de dezembro de 2009, foram inscritos R$ 5,8 bilhões pela administração pública estadual em Restos a Pagar. O volume total de restos a pagar inscritos somou R$ 13,6 bilhões, valor inferior ao Caixa do Tesouro, que alcançou R$ 20,5 bilhões. A relação “Saldo de Caixa / Restos a Pagar” foi de 1,52 em 2009, apontando que – a exemplo do que vem ocorrendo desde 1999 – toda despesa efetuada e não paga no final deste ano possuía contrapartida financeira no caixa do Tesouro Paulista.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9 – Restos a Pagar e Saldo de Caixa (R$ milhões):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C683E7B" wp14:editId="0631B773">
            <wp:extent cx="5400675" cy="3676650"/>
            <wp:effectExtent l="0" t="0" r="9525" b="0"/>
            <wp:docPr id="3" name="Imagem 3" descr="http://www.fazenda.sp.gov.br/ajust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zenda.sp.gov.br/ajustes/image0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e Relatório de Gestão Fiscal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face da rigidez da estrutura orçamentária determinada pelo custeio e vinculações da receita e pelo comprometimento com pagamento da dívida e dos precatórios, as despesas com investimentos ficam suscetíveis à capacidade financeira do Estado em alavancar receitas que possam ser majoritariamente destinadas ao investimento.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Figura 9 retrata o investimento total do Governo do Estado de São Paulo, ou seja, ela soma o investimento que é feito diretamente pelo Estado e aquele que é feito por empresas e outros órgãos da administração indireta com recursos do Tesouro e recursos próprios.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geral, o investimento apresenta uma trajetória crescente ao longo do período retratado. O valor do investimento em 1997 deve-se muito mais a questões contábeis envolvendo o acordo da dívida do que a um incremento do investimento propriamente dito.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Este incremento do investimento decorre da estratégia de ajuste fiscal empreendida desde 1995, o que permitiu nos anos mais recentes que o Governo do Estado aumentasse os recursos próprios para investimento, bem como pudesse captar recursos de terceiros para tanto.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10 – Investimentos (R$ bilhões): 1996-2010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C57642F" wp14:editId="7FAB3BC2">
            <wp:extent cx="5400675" cy="2714625"/>
            <wp:effectExtent l="0" t="0" r="9525" b="9525"/>
            <wp:docPr id="2" name="Imagem 2" descr="http://www.fazenda.sp.gov.br/ajust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zenda.sp.gov.br/ajustes/image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Fontes: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SOE. 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Os dados de 2010 são estimativas baseadas no orçamento.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último, outro dado importante é a evolução do PIB paulista neste período. O PIB cresceu de R$ 263 bilhões em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1995 para um valor de R$ 1.062 bilhões, isto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é o PIB paulista superou a marca de um trilhão. Destaca-se também que o processo de perda da importância relativa do estado no PIB brasileiro foi estancado e desde 2004, o estado voltou a ganhar participação no PIB brasileiro.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11 – São Paulo: PIB em R$ Bilhões e Participação no PIB Brasil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672075C3" wp14:editId="6352B672">
            <wp:extent cx="5400675" cy="2714625"/>
            <wp:effectExtent l="0" t="0" r="9525" b="9525"/>
            <wp:docPr id="15" name="Imagem 15" descr="http://www.fazenda.sp.gov.br/ajust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zenda.sp.gov.br/ajustes/image01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B8" w:rsidRDefault="00F563A9" w:rsidP="00F563A9">
      <w:pPr>
        <w:spacing w:after="0" w:line="240" w:lineRule="auto"/>
        <w:ind w:left="945"/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Fonte: SEADE, IBGE.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A participação do Estado de SP no PIB Brasil para 2008 e 2009 foi mantida igual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de 2007, último número divulgado pelo IBGE. </w:t>
      </w:r>
    </w:p>
    <w:p w:rsidR="00C061B8" w:rsidRDefault="00C061B8" w:rsidP="00C061B8"/>
    <w:p w:rsidR="00CE576C" w:rsidRPr="00C061B8" w:rsidRDefault="00C061B8" w:rsidP="00C061B8">
      <w:pPr>
        <w:tabs>
          <w:tab w:val="left" w:pos="2104"/>
        </w:tabs>
      </w:pPr>
      <w:r>
        <w:tab/>
      </w:r>
    </w:p>
    <w:sectPr w:rsidR="00CE576C" w:rsidRPr="00C061B8" w:rsidSect="007B081D">
      <w:headerReference w:type="default" r:id="rId27"/>
      <w:type w:val="continuous"/>
      <w:pgSz w:w="11906" w:h="16838"/>
      <w:pgMar w:top="753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E" w:rsidRDefault="00022C4E" w:rsidP="002271B6">
      <w:pPr>
        <w:spacing w:after="0" w:line="240" w:lineRule="auto"/>
      </w:pPr>
      <w:r>
        <w:separator/>
      </w:r>
    </w:p>
  </w:endnote>
  <w:endnote w:type="continuationSeparator" w:id="0">
    <w:p w:rsidR="00022C4E" w:rsidRDefault="00022C4E" w:rsidP="002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E" w:rsidRDefault="00022C4E" w:rsidP="002271B6">
      <w:pPr>
        <w:spacing w:after="0" w:line="240" w:lineRule="auto"/>
      </w:pPr>
      <w:r>
        <w:separator/>
      </w:r>
    </w:p>
  </w:footnote>
  <w:footnote w:type="continuationSeparator" w:id="0">
    <w:p w:rsidR="00022C4E" w:rsidRDefault="00022C4E" w:rsidP="002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92" w:type="dxa"/>
      <w:jc w:val="center"/>
      <w:tblInd w:w="-79" w:type="dxa"/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56"/>
      <w:gridCol w:w="6236"/>
    </w:tblGrid>
    <w:tr w:rsidR="00AF1AA4" w:rsidTr="00CF53AE">
      <w:trPr>
        <w:trHeight w:val="1247"/>
        <w:jc w:val="center"/>
      </w:trPr>
      <w:tc>
        <w:tcPr>
          <w:tcW w:w="1656" w:type="dxa"/>
        </w:tcPr>
        <w:p w:rsidR="00AF1AA4" w:rsidRDefault="00AF1AA4" w:rsidP="00887DBC">
          <w:pPr>
            <w:ind w:left="720" w:right="1177"/>
            <w:jc w:val="right"/>
            <w:rPr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6A6696F2" wp14:editId="6A6696F3">
                <wp:simplePos x="0" y="0"/>
                <wp:positionH relativeFrom="margin">
                  <wp:posOffset>31750</wp:posOffset>
                </wp:positionH>
                <wp:positionV relativeFrom="margin">
                  <wp:posOffset>34925</wp:posOffset>
                </wp:positionV>
                <wp:extent cx="755650" cy="838200"/>
                <wp:effectExtent l="0" t="0" r="635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6" w:type="dxa"/>
        </w:tcPr>
        <w:p w:rsidR="00AF1AA4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Arial"/>
              <w:b/>
            </w:rPr>
          </w:pPr>
        </w:p>
        <w:p w:rsidR="00C061B8" w:rsidRPr="00C061B8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Courier New"/>
              <w:b/>
            </w:rPr>
          </w:pPr>
          <w:r w:rsidRPr="00C061B8">
            <w:rPr>
              <w:rFonts w:ascii="Verdana" w:hAnsi="Verdana" w:cs="Courier New"/>
              <w:b/>
            </w:rPr>
            <w:t>GOVERNO DO ESTADO DE SÃO PAULO</w:t>
          </w:r>
        </w:p>
        <w:p w:rsidR="00C061B8" w:rsidRPr="00C061B8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Courier New"/>
              <w:b/>
              <w:sz w:val="20"/>
              <w:szCs w:val="20"/>
            </w:rPr>
          </w:pPr>
          <w:r w:rsidRPr="00C061B8">
            <w:rPr>
              <w:rFonts w:ascii="Verdana" w:hAnsi="Verdana" w:cs="Courier New"/>
              <w:b/>
              <w:sz w:val="20"/>
              <w:szCs w:val="20"/>
            </w:rPr>
            <w:t>SECRETARIA DA FAZENDA</w:t>
          </w:r>
        </w:p>
        <w:p w:rsidR="00AF1AA4" w:rsidRPr="00283492" w:rsidRDefault="00AF1AA4" w:rsidP="00283492">
          <w:pPr>
            <w:pStyle w:val="Cabealho"/>
            <w:tabs>
              <w:tab w:val="clear" w:pos="4252"/>
              <w:tab w:val="center" w:pos="5765"/>
            </w:tabs>
            <w:ind w:right="360"/>
            <w:rPr>
              <w:rFonts w:ascii="Verdana" w:hAnsi="Verdana"/>
              <w:sz w:val="16"/>
              <w:szCs w:val="16"/>
            </w:rPr>
          </w:pPr>
        </w:p>
        <w:p w:rsidR="00283492" w:rsidRPr="00C061B8" w:rsidRDefault="00283492" w:rsidP="00283492">
          <w:pPr>
            <w:pStyle w:val="Cabealho"/>
            <w:tabs>
              <w:tab w:val="clear" w:pos="4252"/>
              <w:tab w:val="center" w:pos="5765"/>
            </w:tabs>
            <w:ind w:right="360"/>
            <w:rPr>
              <w:rFonts w:ascii="Verdana" w:hAnsi="Verdana"/>
              <w:i/>
              <w:sz w:val="16"/>
              <w:szCs w:val="16"/>
            </w:rPr>
          </w:pPr>
          <w:r w:rsidRPr="00283492">
            <w:rPr>
              <w:rFonts w:ascii="Verdana" w:hAnsi="Verdana"/>
              <w:sz w:val="16"/>
              <w:szCs w:val="16"/>
            </w:rPr>
            <w:t>Data atualização: Abril/2010</w:t>
          </w:r>
        </w:p>
      </w:tc>
    </w:tr>
  </w:tbl>
  <w:p w:rsidR="00AF1AA4" w:rsidRPr="002271B6" w:rsidRDefault="00AF1AA4" w:rsidP="007B081D">
    <w:pPr>
      <w:pStyle w:val="Cabealh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457"/>
    <w:multiLevelType w:val="multilevel"/>
    <w:tmpl w:val="31A0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6"/>
    <w:rsid w:val="00022C4E"/>
    <w:rsid w:val="000657BF"/>
    <w:rsid w:val="0015185E"/>
    <w:rsid w:val="002271B6"/>
    <w:rsid w:val="00241A18"/>
    <w:rsid w:val="00283492"/>
    <w:rsid w:val="007B081D"/>
    <w:rsid w:val="007B56CD"/>
    <w:rsid w:val="00887DBC"/>
    <w:rsid w:val="008F57DB"/>
    <w:rsid w:val="009B0DED"/>
    <w:rsid w:val="00AF1AA4"/>
    <w:rsid w:val="00B449AF"/>
    <w:rsid w:val="00BA702E"/>
    <w:rsid w:val="00C061B8"/>
    <w:rsid w:val="00C84F7C"/>
    <w:rsid w:val="00CE576C"/>
    <w:rsid w:val="00CF53AE"/>
    <w:rsid w:val="00E965A5"/>
    <w:rsid w:val="00F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B6"/>
  </w:style>
  <w:style w:type="paragraph" w:styleId="Rodap">
    <w:name w:val="footer"/>
    <w:basedOn w:val="Normal"/>
    <w:link w:val="Rodap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B6"/>
  </w:style>
  <w:style w:type="paragraph" w:styleId="Rodap">
    <w:name w:val="footer"/>
    <w:basedOn w:val="Normal"/>
    <w:link w:val="Rodap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" Type="http://schemas.openxmlformats.org/officeDocument/2006/relationships/customXml" Target="../customXml/item3.xml"/><Relationship Id="rId21" Type="http://schemas.openxmlformats.org/officeDocument/2006/relationships/image" Target="media/image9.gif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gif"/><Relationship Id="rId5" Type="http://schemas.openxmlformats.org/officeDocument/2006/relationships/numbering" Target="numbering.xml"/><Relationship Id="rId15" Type="http://schemas.openxmlformats.org/officeDocument/2006/relationships/image" Target="media/image3.gif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Download xmlns="cab9443d-e875-490f-becd-80caf65fbf12">653</Tipo_x0020_de_x0020_Download>
    <Data xmlns="d296cc71-5d98-43cb-9022-62bdf2adc570">2016-11-24T02:00:00+00:00</Data>
    <TaxCatchAll xmlns="cab9443d-e875-490f-becd-80caf65fbf12"/>
    <DocumentoAnual xmlns="b2df8dff-e853-4b8e-b27b-cee136c95117">false</DocumentoAnual>
    <TipoDeConteudoAcesso xmlns="39a54896-fcd5-46ac-88d0-402f810c0b89">Downloads</TipoDeConteudoAcesso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09CB29B6F24549B633F12773FD39EE" ma:contentTypeVersion="44" ma:contentTypeDescription="Crie um novo documento." ma:contentTypeScope="" ma:versionID="a7973db2a09ea35acb9aaa8b65875e2d">
  <xsd:schema xmlns:xsd="http://www.w3.org/2001/XMLSchema" xmlns:xs="http://www.w3.org/2001/XMLSchema" xmlns:p="http://schemas.microsoft.com/office/2006/metadata/properties" xmlns:ns1="http://schemas.microsoft.com/sharepoint/v3" xmlns:ns2="d296cc71-5d98-43cb-9022-62bdf2adc570" xmlns:ns3="cab9443d-e875-490f-becd-80caf65fbf12" xmlns:ns4="b2df8dff-e853-4b8e-b27b-cee136c95117" xmlns:ns5="39a54896-fcd5-46ac-88d0-402f810c0b89" targetNamespace="http://schemas.microsoft.com/office/2006/metadata/properties" ma:root="true" ma:fieldsID="c1a868648a2d00df44c1e42c8f1bb1ff" ns1:_="" ns2:_="" ns3:_="" ns4:_="" ns5:_="">
    <xsd:import namespace="http://schemas.microsoft.com/sharepoint/v3"/>
    <xsd:import namespace="d296cc71-5d98-43cb-9022-62bdf2adc570"/>
    <xsd:import namespace="cab9443d-e875-490f-becd-80caf65fbf12"/>
    <xsd:import namespace="b2df8dff-e853-4b8e-b27b-cee136c95117"/>
    <xsd:import namespace="39a54896-fcd5-46ac-88d0-402f810c0b89"/>
    <xsd:element name="properties">
      <xsd:complexType>
        <xsd:sequence>
          <xsd:element name="documentManagement">
            <xsd:complexType>
              <xsd:all>
                <xsd:element ref="ns2:Data"/>
                <xsd:element ref="ns3:Tipo_x0020_de_x0020_Download"/>
                <xsd:element ref="ns4:DocumentoAnual" minOccurs="0"/>
                <xsd:element ref="ns5:TipoDeConteudoAcesso"/>
                <xsd:element ref="ns1:PublishingStartDate" minOccurs="0"/>
                <xsd:element ref="ns1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7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cc71-5d98-43cb-9022-62bdf2adc570" elementFormDefault="qualified">
    <xsd:import namespace="http://schemas.microsoft.com/office/2006/documentManagement/types"/>
    <xsd:import namespace="http://schemas.microsoft.com/office/infopath/2007/PartnerControls"/>
    <xsd:element name="Data" ma:index="2" ma:displayName="Data de Referência" ma:description="Informe a data correspondente ao período do documento. Não utilize a data de publicação." ma:format="DateOnly" ma:indexed="true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43d-e875-490f-becd-80caf65fbf12" elementFormDefault="qualified">
    <xsd:import namespace="http://schemas.microsoft.com/office/2006/documentManagement/types"/>
    <xsd:import namespace="http://schemas.microsoft.com/office/infopath/2007/PartnerControls"/>
    <xsd:element name="Tipo_x0020_de_x0020_Download" ma:index="3" ma:displayName="Tipo de Download" ma:description="Selecione a categoria de download ou página relacionada ao documento." ma:indexed="true" ma:list="975de27f-7b5e-418a-a365-5db78b7f3513" ma:internalName="Tipo_x0020_de_x0020_Download" ma:showField="Title" ma:web="cab9443d-e875-490f-becd-80caf65fbf12">
      <xsd:simpleType>
        <xsd:restriction base="dms:Lookup"/>
      </xsd:simpleType>
    </xsd:element>
    <xsd:element name="TaxCatchAll" ma:index="9" nillable="true" ma:displayName="Coluna Global de Taxonomia" ma:hidden="true" ma:list="{4eb8de8d-8248-486d-8378-a43bb5bb6e60}" ma:internalName="TaxCatchAll" ma:readOnly="false" ma:showField="CatchAllData" ma:web="cab9443d-e875-490f-becd-80caf65fb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8dff-e853-4b8e-b27b-cee136c95117" elementFormDefault="qualified">
    <xsd:import namespace="http://schemas.microsoft.com/office/2006/documentManagement/types"/>
    <xsd:import namespace="http://schemas.microsoft.com/office/infopath/2007/PartnerControls"/>
    <xsd:element name="DocumentoAnual" ma:index="4" nillable="true" ma:displayName="Documento Anual" ma:default="0" ma:description="Identifica que o documento será apresentado no agrupamento anual, mesmo quando a página for configurada para outro período." ma:internalName="DocumentoAnu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4896-fcd5-46ac-88d0-402f810c0b89" elementFormDefault="qualified">
    <xsd:import namespace="http://schemas.microsoft.com/office/2006/documentManagement/types"/>
    <xsd:import namespace="http://schemas.microsoft.com/office/infopath/2007/PartnerControls"/>
    <xsd:element name="TipoDeConteudoAcesso" ma:index="5" ma:displayName="Tipo de Conteúdo" ma:default="Downloads" ma:format="Dropdown" ma:internalName="TipoDeConteudoAcesso">
      <xsd:simpleType>
        <xsd:restriction base="dms:Choice">
          <xsd:enumeration value="Notícias"/>
          <xsd:enumeration value="Serviços"/>
          <xsd:enumeration value="Legislação"/>
          <xsd:enumeration value="Downloads"/>
          <xsd:enumeration value="Eventos"/>
          <xsd:enumeration value="Diário Oficial"/>
          <xsd:enumeration value="Agenda"/>
          <xsd:enumeration value="Educação Fiscal"/>
          <xsd:enumeration value="Vídeo"/>
          <xsd:enumeration value="Perguntas Frequen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1CDD-D824-4686-BB6C-246EB944C38F}"/>
</file>

<file path=customXml/itemProps2.xml><?xml version="1.0" encoding="utf-8"?>
<ds:datastoreItem xmlns:ds="http://schemas.openxmlformats.org/officeDocument/2006/customXml" ds:itemID="{FBCAB498-6705-4451-9D4A-154CB20D9B37}"/>
</file>

<file path=customXml/itemProps3.xml><?xml version="1.0" encoding="utf-8"?>
<ds:datastoreItem xmlns:ds="http://schemas.openxmlformats.org/officeDocument/2006/customXml" ds:itemID="{C34E3BFD-5E78-4F5E-89EA-1E0072B50D5E}"/>
</file>

<file path=customXml/itemProps4.xml><?xml version="1.0" encoding="utf-8"?>
<ds:datastoreItem xmlns:ds="http://schemas.openxmlformats.org/officeDocument/2006/customXml" ds:itemID="{E6212EA0-083E-404B-95BD-26A73FD84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4057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Isabela de Tommaso Falleiros</dc:creator>
  <cp:lastModifiedBy>Rosemeire Aparecida de Araujo</cp:lastModifiedBy>
  <cp:revision>3</cp:revision>
  <dcterms:created xsi:type="dcterms:W3CDTF">2016-02-29T17:52:00Z</dcterms:created>
  <dcterms:modified xsi:type="dcterms:W3CDTF">2016-02-29T18:00:00Z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0x010100F909CB29B6F24549B633F12773FD39EE</vt:lpwstr>
  </property>
</Properties>
</file>